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华文新魏" w:cs="华文新魏" w:eastAsia="华文新魏" w:hAnsi="华文新魏"/>
          <w:b w:val="1"/>
          <w:sz w:val="32"/>
          <w:szCs w:val="32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32"/>
          <w:szCs w:val="32"/>
          <w:rtl w:val="0"/>
        </w:rPr>
        <w:t xml:space="preserve">灵修生活（三）-圣灵充满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华文新魏" w:cs="华文新魏" w:eastAsia="华文新魏" w:hAnsi="华文新魏"/>
          <w:b w:val="1"/>
          <w:sz w:val="32"/>
          <w:szCs w:val="32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32"/>
          <w:szCs w:val="32"/>
          <w:rtl w:val="0"/>
        </w:rPr>
        <w:t xml:space="preserve">（约7：37-39，徒1：8，2：38）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华文新魏" w:cs="华文新魏" w:eastAsia="华文新魏" w:hAnsi="华文新魏"/>
          <w:b w:val="1"/>
          <w:sz w:val="32"/>
          <w:szCs w:val="32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经文：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SimSun" w:cs="SimSun" w:eastAsia="SimSun" w:hAnsi="SimS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约7：37-39：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节期的末日，就是最大之日，耶稣站着高声说：‘人若渴了，可以到我这里来喝。信我的人，就如经上所说，从他腹中要流出活水的江河来。’耶稣这话是指着信他之人要受圣灵说的；那时还没有赐下圣灵来，因为耶稣尚未得着荣耀。”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徒一8：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“但圣灵降临在你们身上，你们就必得着能力；并要在耶路撒冷、犹太全地和撒玛利亚，直到地极，作我的见证。”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徒二38：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“彼得说，你们各人要悔改，奉耶稣基督的名受浸，叫你们的罪得赦；就必领受所赐的圣灵。”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华文新魏" w:cs="华文新魏" w:eastAsia="华文新魏" w:hAnsi="华文新魏"/>
          <w:sz w:val="28"/>
          <w:szCs w:val="28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一、关于圣灵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在我们领受圣灵充满之前，需要对圣灵的真理有一些基本的认识。理由主要有三个：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1.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如果我们对圣灵存着一些偏见，就会拦阻我们来领受圣灵充满。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2.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如果我们对圣灵的真理缺乏认识，即使我们领受了圣灵充满，也不容易保持住。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3.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圣灵充满以后，当产生疑惑，遇到质疑甚至攻击，若不能有效回应，就会产生混乱。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基督教信仰的对象是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圣父、圣子和圣灵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，三位一体的神。如果我们忽略了圣灵，我们所信的对象就会有所偏差，不再是三位一体，而是二位一体，或者是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圣父、圣子和圣经</w:t>
      </w:r>
      <w:r w:rsidDel="00000000" w:rsidR="00000000" w:rsidRPr="00000000">
        <w:rPr>
          <w:rFonts w:ascii="SimSun" w:cs="SimSun" w:eastAsia="SimSun" w:hAnsi="SimSun"/>
          <w:rtl w:val="0"/>
        </w:rPr>
        <w:t xml:space="preserve">。这种偏差是十分严重的错误，带来的危害是极大的，有时甚至是致命的。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与三位一体的神相对应，基督教信仰也有三个特质，它们构成了一个稳固的三角形：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真理性、历史性和经验性</w:t>
      </w:r>
      <w:r w:rsidDel="00000000" w:rsidR="00000000" w:rsidRPr="00000000">
        <w:rPr>
          <w:rFonts w:ascii="SimSun" w:cs="SimSun" w:eastAsia="SimSun" w:hAnsi="SimSun"/>
          <w:rtl w:val="0"/>
        </w:rPr>
        <w:t xml:space="preserve">。真理性来自圣父，因为神就是真理；历史性来自圣子，因为他曾经道成肉身；经验性来自圣灵，因为他住在我们里面。如果忽略了圣灵，我们的信仰也就失去了可经验性，结果会怎样呢？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首先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，离开了圣灵，圣经就成了一本历史书、故事书，律法书、或宗教经典，它就不再是一本启示之书和生命之书，因为任何启示和生命都离不开圣灵的经验。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第二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，离开了圣灵，耶稣就成了一个历史人物，不再是一位生命之主和救主，因为生命之主和救主都跟圣灵的经验息息相关。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第三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，离开了圣灵，教会就成了一个人间的社团、俱乐部、或宗教组织，不再是充满神同在的家，因为离开了圣灵就没有神的同在。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总之，离开了圣灵，基督教也许还可以保持她的正统性和历史性，但是，却成了一个没有能力的宗教。一个没有能力的基督教无法抵抗当前世俗化的侵蚀。所以，在得着圣灵充满之前，我们首先来澄清两种对圣灵的误解。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ab/>
      </w:r>
    </w:p>
    <w:p w:rsidR="00000000" w:rsidDel="00000000" w:rsidP="00000000" w:rsidRDefault="00000000" w:rsidRPr="00000000" w14:paraId="0000001A">
      <w:pPr>
        <w:spacing w:line="240" w:lineRule="auto"/>
        <w:rPr>
          <w:rFonts w:ascii="华文新魏" w:cs="华文新魏" w:eastAsia="华文新魏" w:hAnsi="华文新魏"/>
          <w:sz w:val="28"/>
          <w:szCs w:val="28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二、关于圣灵的两种误解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回顾教会的历史，我们发现，拦阻基督徒认识圣灵的原因主要有两个误解。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SimSun" w:cs="SimSun" w:eastAsia="SimSun" w:hAnsi="SimS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1.第一种是古老的误解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产生于第二世纪，主要是神学性的误解，是教会内部产生的。第一世纪以后，特别是教会有了圣经之后，认为就不需要圣灵了。理由是：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神默示了圣经之后，就不再继续透过圣灵对人说话了。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圣灵超自然的恩赐和工作，在初代教会之后，就终止了。 </w:t>
      </w:r>
    </w:p>
    <w:p w:rsidR="00000000" w:rsidDel="00000000" w:rsidP="00000000" w:rsidRDefault="00000000" w:rsidRPr="00000000" w14:paraId="00000023">
      <w:pPr>
        <w:spacing w:line="240" w:lineRule="auto"/>
        <w:ind w:left="0" w:righ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实际上，教会和基督徒除了圣经之外，根本就离不开圣灵。这里主要有两个理由：</w:t>
      </w:r>
    </w:p>
    <w:p w:rsidR="00000000" w:rsidDel="00000000" w:rsidP="00000000" w:rsidRDefault="00000000" w:rsidRPr="00000000" w14:paraId="00000025">
      <w:pPr>
        <w:spacing w:line="240" w:lineRule="auto"/>
        <w:ind w:left="0" w:righ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a)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我们需要圣灵光照，才能明白圣经。（约十六13）</w:t>
      </w:r>
    </w:p>
    <w:p w:rsidR="00000000" w:rsidDel="00000000" w:rsidP="00000000" w:rsidRDefault="00000000" w:rsidRPr="00000000" w14:paraId="00000026">
      <w:pPr>
        <w:spacing w:line="240" w:lineRule="auto"/>
        <w:ind w:left="0" w:righ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b)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我们需要圣灵充满，才能行出圣经。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2.第二种是近代的误解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产生于第十八世纪，主要是世界观的误解，源自于自然神论，它认为神完成制造工作之后，就退休了，让宇宙自行运转。这其实是第一种误解对世界的影响，这种自然神论结出了两个结果：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一个是机械唯物论或无神论，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另一个是经验主义或实证主义。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在机械唯物论和实证主义的影响下，不仅许多人离开了神，而且即使在教会里，也有许多信徒自觉或不自觉地排斥圣灵的工作。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二十世纪的新物理学推翻了机械唯物论和实证主义。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a)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除了这个看得见、摸得着的宏观世界之外，还有一个看不见、摸不着的微观世界。 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b)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宏观世界与微观世界之间存在着互动、或相互作用。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c)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如果我们接受微观世界的存在，就没有任何理由不接受灵界的存在。 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华文新魏" w:cs="华文新魏" w:eastAsia="华文新魏" w:hAnsi="华文新魏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三、圣灵两面的应许和应验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1.圣灵内住的应许与应验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应许。约翰福音14：16-20：“...他要与你们同在，也要在你们里面。...”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应验。约翰福音20：19：“...说了这话，就向他们吹一口气，说，你们受圣灵。”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   </w:t>
        <w:tab/>
      </w:r>
    </w:p>
    <w:p w:rsidR="00000000" w:rsidDel="00000000" w:rsidP="00000000" w:rsidRDefault="00000000" w:rsidRPr="00000000" w14:paraId="0000003A">
      <w:pPr>
        <w:spacing w:line="240" w:lineRule="auto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2.圣灵浇灌的应许和应验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应许。徒1：4-5：“...但不多几日，你们要受圣灵的洗。”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2）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应验。徒2：1-4：“...都被圣灵充满，...” ；徒2：32：“...圣灵，浇灌下来。”</w:t>
      </w:r>
    </w:p>
    <w:p w:rsidR="00000000" w:rsidDel="00000000" w:rsidP="00000000" w:rsidRDefault="00000000" w:rsidRPr="00000000" w14:paraId="0000003D">
      <w:pPr>
        <w:spacing w:line="240" w:lineRule="auto"/>
        <w:ind w:firstLine="72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3.同一位圣灵，两面的工作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圣灵使用两只手在我们身上做工：一只手在我们里面做工，一只手在我们外面做工。圣灵这里面的工作，要把我们磨成耶稣的模样。圣灵外面的工作，是帮助我们作主耶稣所做的工。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圣灵里外工作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七项对比：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“圣灵的内住”和“圣灵的浇灌”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“圣灵的重生”和“圣灵的洗/浸”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3)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“新生命”和 “见证能力”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4)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“新身份”和“宣教使命”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5)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“生命见证”和“福音见证”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6)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“持续一生”和“多次经历”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7)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发生时间:“信主之时”和“不定”。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72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华文新魏" w:cs="华文新魏" w:eastAsia="华文新魏" w:hAnsi="华文新魏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华文新魏" w:cs="华文新魏" w:eastAsia="华文新魏" w:hAnsi="华文新魏"/>
          <w:sz w:val="30"/>
          <w:szCs w:val="30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四、如何得着圣灵充满？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（徒二38）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1.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悔改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2.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弃罪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3.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受水礼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4.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顺服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（徒五32）5.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渴慕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（约七37-39）6.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祈求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（路十一13）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7.</w:t>
      </w:r>
      <w:r w:rsidDel="00000000" w:rsidR="00000000" w:rsidRPr="00000000">
        <w:rPr>
          <w:rFonts w:ascii="SimSun" w:cs="SimSun" w:eastAsia="SimSun" w:hAnsi="SimSun"/>
          <w:b w:val="1"/>
          <w:sz w:val="21"/>
          <w:szCs w:val="21"/>
          <w:rtl w:val="0"/>
        </w:rPr>
        <w:t xml:space="preserve">信心</w:t>
      </w: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（可十一24；约壹五14、15）。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五、挪去圣灵充满常见的七重拦阻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1.对于圣灵的惧怕（约6 ：20）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耶稣对他们说：“是我，不要怕。”圣灵是主的灵，是圣善的灵，他给我们的是平安。求神拿走我们的惧怕，赐我们平安。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2. 自我理性无法接受（林前2:14,太11:25)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林前2:14--因为这些事惟有属灵的人才能看透。（属灵的人）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太11:25 --向聪明通达人，就藏起来，向婴孩就显出来。”（如小孩般单纯的心）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神是个灵，认识圣灵不是用头脑，而是用心灵，重要的是将心门打开。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3. 说方言以为是异端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方言分两种：方言祷告和方言恩赐，它们本质相同，功用不同。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1）方言祷告：林前14：2，不是对人讲，乃是对神讲。所以不需翻译，可以众口同心地向神祷告，或悟性或方言，目的是满足神也造就自己，因此适合每一个信徒，祷告无论什么形式都是基督徒生活的基础训练和基本素质。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2）方言恩赐：林前12：10-11，是对人讲，如同先知讲道，是圣灵赐给教会的九大恩赐之一，是圣灵的拣选，因此只适合一部分信徒。恩赐都是用来建造教会的，5句先知讲道就能造就教会，因此方言恩赐需要翻译,且要按序发表。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3）什么是方言？不是地方dialect,而是人舌发的音speak in tongues，圣灵给口才（内容）。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4）总结：</w:t>
      </w: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方言祷告，很有果效，大有能力，造就自己，灵命突破。所以，魔鬼很害怕，很憎恶，很仇恨，想方设法兴起人来抵挡方言，诽谤方言，制造恐慌，让信徒不敢领受此恩赐。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5）何爱歌博士领受图（从科学角度解释方言如何工作）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4. 对情绪化现象反感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圣灵在人身上浇灌就有能力，能力浇灌在人身上，人不能承受，就有反应。上帝造我们有情绪，人长久压抑的情绪要释放，哭笑常是人释放情绪的好途径。另外圣灵运行的地方，就有灵界的反应，深藏在人身上或教会的邪灵在圣灵大大运行和浇灌的地方，无法隐藏，挣扎耍赖，不愿退去，圣灵在教会运行，有生命就有反应，有动静表明是活的，坟墓最安静，最有秩序，却是死的。（请参考佳恩教会《医治六步》）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5. 不肯将自己的主权交出来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林前6:19-20：并且你们不是自己的人。因为你们是重价买来的。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他（主）为我死，我为他活；把我们人生的方向盘交给主，把我们要命的东西交给主，每一个人要命的东西不一样，那你要命的东西是什么？金钱，名望，面子，成功，儿女，配偶，你能交出来吗？你愿意交给主吗？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6. 害怕彰显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圣灵运行时，人可能会有彰显，它们可能来自于</w:t>
      </w: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圣灵，也有可能是邪灵暴露了挣扎耍赖，也有可能是自己压抑很久的情绪反应，这些原因交织在一起，但我们不要惧怕这些彰显，圣灵都在掌权，他要将我们释放出来。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0" w:firstLine="0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7. 不渴慕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华文新魏" w:cs="华文新魏" w:eastAsia="华文新魏" w:hAnsi="华文新魏"/>
          <w:b w:val="1"/>
          <w:sz w:val="28"/>
          <w:szCs w:val="28"/>
        </w:rPr>
      </w:pPr>
      <w:r w:rsidDel="00000000" w:rsidR="00000000" w:rsidRPr="00000000">
        <w:rPr>
          <w:rFonts w:ascii="华文新魏" w:cs="华文新魏" w:eastAsia="华文新魏" w:hAnsi="华文新魏"/>
          <w:b w:val="1"/>
          <w:sz w:val="28"/>
          <w:szCs w:val="28"/>
          <w:rtl w:val="0"/>
        </w:rPr>
        <w:t xml:space="preserve">结语：</w:t>
      </w:r>
      <w:r w:rsidDel="00000000" w:rsidR="00000000" w:rsidRPr="00000000">
        <w:rPr>
          <w:rFonts w:ascii="SimSun" w:cs="SimSun" w:eastAsia="SimSun" w:hAnsi="SimSun"/>
          <w:sz w:val="21"/>
          <w:szCs w:val="21"/>
          <w:rtl w:val="0"/>
        </w:rPr>
        <w:t xml:space="preserve">愿这篇分享能鼓励我们天天经历圣灵，也以开放渴慕的心迎接下一周林大中牧师带给我们圣灵的大能浇灌。感谢赞美主！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  <w:font w:name="Times New Roman"/>
  <w:font w:name="Gungsuh"/>
  <w:font w:name="华文新魏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